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Default="005F13FC" w:rsidP="004A0D9A">
      <w:pPr>
        <w:pStyle w:val="Title"/>
      </w:pPr>
    </w:p>
    <w:p w:rsidR="005F13FC" w:rsidRPr="00D04F5E" w:rsidRDefault="005F13FC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5F13FC" w:rsidRPr="00AD1DCD" w:rsidRDefault="005F13FC" w:rsidP="004A0D9A">
      <w:pPr>
        <w:pStyle w:val="Title"/>
        <w:rPr>
          <w:rStyle w:val="IntenseEmphasis"/>
        </w:rPr>
      </w:pPr>
      <w:r w:rsidRPr="00AD1DCD">
        <w:rPr>
          <w:rStyle w:val="IntenseEmphasis"/>
        </w:rPr>
        <w:t xml:space="preserve">Zpráva ze zahraniční služební cesty </w:t>
      </w:r>
    </w:p>
    <w:p w:rsidR="005F13FC" w:rsidRPr="00D04F5E" w:rsidRDefault="005F13FC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13FC" w:rsidRPr="00D04F5E" w:rsidRDefault="005F13FC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Zdeněk MATUŠÍK, RSDr.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296759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1.2.2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Oddělení studoven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04F5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Zasedání Skupiny EBLIDA pro informační právo – EBLIDA/EGIL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Zagreb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Chorvatsko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4. – 6. 11. 2013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4. 11. 2013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13,15 – 17 – cesta do Záhřebu via Mnichov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ubytování</w:t>
            </w:r>
          </w:p>
          <w:p w:rsidR="005F13FC" w:rsidRPr="00D04F5E" w:rsidRDefault="005F13FC" w:rsidP="001F6786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21,45 – 22,30 – krátké nahlédnutí do Národní a univerzitní knihovny (Nacionalna i sveučilišna knjižnica u Zagrebu)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5. 11. 2013</w:t>
            </w:r>
          </w:p>
          <w:p w:rsidR="005F13FC" w:rsidRPr="00D04F5E" w:rsidRDefault="005F13FC" w:rsidP="00CF769F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10 – 12 – návštěva Knihoven města Záhřebu (Knjižnice grada Zagreba)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14 – 16 – prohlídka Národní a univerzitní knihovny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16 – 17 – prohlídka knihovny FF ZU</w:t>
            </w:r>
          </w:p>
          <w:p w:rsidR="005F13FC" w:rsidRPr="00D04F5E" w:rsidRDefault="005F13FC" w:rsidP="005D3228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19,30 – 22 – večeře se členy EBLIDA EC a představitelkami Chorvatského knihovnického spolku (HKD)</w:t>
            </w:r>
          </w:p>
          <w:p w:rsidR="005F13FC" w:rsidRPr="00D04F5E" w:rsidRDefault="005F13FC" w:rsidP="000A3DF5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6. 11. 2013</w:t>
            </w:r>
          </w:p>
          <w:p w:rsidR="005F13FC" w:rsidRPr="00D04F5E" w:rsidRDefault="005F13FC" w:rsidP="005D3228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9 – 17 – jednání EBLIDA/EGIL</w:t>
            </w:r>
          </w:p>
          <w:p w:rsidR="005F13FC" w:rsidRPr="00D04F5E" w:rsidRDefault="005F13FC" w:rsidP="005D3228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18,40 – 21 – návrat do Prahy via Vídeň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0F0561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Rozpočet NK ČR</w:t>
            </w:r>
          </w:p>
        </w:tc>
      </w:tr>
      <w:tr w:rsidR="005F13FC" w:rsidRPr="004A0D9A">
        <w:trPr>
          <w:trHeight w:val="318"/>
        </w:trPr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C6152E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Zúčastnit se zasedání Skupiny EBLIDA pro informační právo – EBLIDA/EGIL. Při této příležitosti se seznámit s významnými knihovnami v Záhřebu.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Jednání Expertní skupiny pro informační právo EBLIDA.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Způsob práce EGIL. 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Těžiště práce by se mělo soustředit v okruhu několika kolegů, kteří by na jedné straně problémy do hloubky i v náležitém záběru zpracovávali. S dalšími členy skupiny bude probíhat obousměrná komunikace: předkládání pracovních variant materiálů informace o dění na evropské úrovni na jedné straně, připomínky k materiálům i informace o dění a právním stavu v rámci jednotlivých zemí na straně druhé.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Místa jednání by měla být snadno dosažitelná, kladoucí rozumné nároky na náklady.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Následující jednání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se bude konat v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Haagu v dubnu 2014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(9. – jednání EGIL, 10. – společné jednání IFLA/CLM a EBLIDA/EGIL).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Spolupráce s IFLA/CLM je zásadní (vedle meritorní stránky) z toho důvodu, že IFLA má u WIPO status pozorovatele – což je podstatné v rámci současných jednání o výjimkách a omezeních autorského práva ve prospěch knihoven etc.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Významné byly informace o průběhu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jednání zainteresovaných stran organizovaných Evropskou komisí v rámci tzv. Licences for Europe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. Vzhledem k tomu, že se nepřipouštělo ani uznání, že některé problémy je možné či nutné řešit také jinak než jen na základě licencí (text and data mining, e-lending). Memorandum o porozumění o e-lending není pro nakladatele předmětem jednání. EBLIDA se jednak z jednání stáhla, jednak (bylo avizováno) chystala na závěr prohlášení o neúspěch jednání. Předložené (a za týden po jednání v Bruselu skutečně vyhlášené) závěry představují jednostranná řešení nakladatelů/producentů (nutno říci, že ve vztahu k TDM byla konstatována potřeba aspoň přezkoumat otázku výjimky).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V informaci o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jednání zástupců EBLIDA s pracovníky sekretariátu EK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zaznělo, že byly požadovány informace o rozšíření e-lendingu a e-knihách obecně, o míře digitalizace, zastoupení osiřelých děl aj.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Byla podána informace o jednání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10. mezinárodní konference o právu veřejného půjčování (PLR)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. EK neuvažuje kodifikaci PLR, neboť v jižní Evropě nefunguje.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Další otázky: 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Transpozice směrnice o osiřelých dílech a přijetí úpravy užití děl nedostupných na trhu v Německu (novela dvou různých zákonů – reakce na skutečnost, že OCW nejsou evropskou legislativou řešena).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Novela směrnice o informacích veřejného sektoru.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Přijetí konečné podoby nařízení o ochraně údajů, jež se zdálo být dohodnuto, je nyní podle všeho odloženo na neurčito, vzhledem k aféře s NSA. Z "práva být zapomenut" by měly být vyňaty národní knihovny a archivy.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Mezi jinými se objevují také úvahy o nahrazení ACTA dvoustrannými dohodami. Třeba sledovat, nevhodná řešení by mohla mít značný dopad na knihovny a výjimky z AP pro ně, jakož i na další mechanismy k ochraně národních kultur a jazyka.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Zajímavá byla informace právničky Švédského sdružení knihoven (Caroline Fellbom Franke)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o rozšířených kolektivních licencích ve Švédsku (resp. Skandinávii)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. – Zvláště zajímavé momenty: Rozšířená kolektivní licence (ECL) zavazuje i nezastoupené nositele práv, tzv. outsidery, kteří </w:t>
            </w:r>
            <w:r w:rsidRPr="00D04F5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zahrnuje i nositele práva ze zahraničí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. ECL musí být konformní s 3krokovým testem. Kolektivní správce (CMO) musí být reprezentativní pro daný předmět ochrany.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Od 1. 11. 2013 vstupuje ve Švédsku v platnost nová úprava zavádějící "obecnou ECL"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, již lze uplatnit ve vztahu k předmětu nepokrytému žádnou ze specifických ECL (např. vysílání pro vzdělávání). Uvedené ustanovení umožňuje uzavřít ECL na zpřístupňování, za jistých podmínek, digitalizovaného materiálu veřejnosti, pokud je specifikován rozsah.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V jednom oboru může působit více CMO.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Podmínky pro možné uplatnění ECL: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nějaký typ "selhání trhu"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pasové požadavky na užití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vysoké transakční náklady na vyřízení práv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reprezentativní CMO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průhlednost a dobrá správa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jistoty pro "outsidery" (opt-out, zásada rovného zacházení, právo požadovat individuální odměnu)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mechanismy mediace a arbitráže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ECL tak je způsob snadného vyřízení práv, pokud by nucená licence zasahoval do práv nositelů příliš.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Na jednání bylo avizováno vyhlášení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přezkumu evropského autorského práva 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(k němuž došlo 5. 12. 2013).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EBLIDA se orientuje na dvoukolejné řešení: jak licence, tak zákonné mechanismy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, knihovny nemohou být v soutěži s komerčním trhem.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Oproti dřívějšku (otázka vyčerpání práv předpokládá vlastnictví) se nyní profiluje streaming a přístup.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Ve Švédsku se nyní připravuje nová etapa jednání o licenci pro e-lending ve veřejných knihovnách.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Nizozemsku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probíhají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jednání o e-lendingu pro veřejné knihovny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– s jednotlivými nakladateli (knihovny na ně a na licence přispívají částkou za každého obyvatele obce): 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3 kategorie přístupu a cen –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aktuální – nejsou k dispozici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hlavní část – (1-3 roky od vydání)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"dlouhý chvost" (pro nakladatele není tak zajímavý)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Připravuje se nová právní úprava organizace digitálních služeb v Nizozemsku (centrální akvizice obsahu). Dle záměru by se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národní knihovna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měla stát </w:t>
            </w:r>
            <w:r w:rsidRPr="00D04F5E">
              <w:rPr>
                <w:rFonts w:ascii="Calibri" w:hAnsi="Calibri" w:cs="Calibri"/>
                <w:b/>
                <w:bCs/>
                <w:sz w:val="22"/>
                <w:szCs w:val="22"/>
              </w:rPr>
              <w:t>odpovědnou za rozvoj celého knihovnictví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, financování by bylo zajištěno přímo obcemi.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Ve vědeckých knihovnách je v diskusích kladen důraz na vzorové/standardní licence.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Otázka k rozpracování: je nucená licence alternativou k licenci pro e-lending? 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Možný vliv výsledků soudních procesů v Německu a Nizozemsku na otázku vyčerpání práv, vztahu k majetkovému právu.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EGIL zpracovává materiály k problémům: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materiál o širších základech právních problémů k použití pro členské organizace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- stručný materiál vycházející z předchozího pro veřejnost, EK a politiky (zdůvodnění výjimek, knihovny a trh)</w:t>
            </w:r>
          </w:p>
          <w:p w:rsidR="005F13FC" w:rsidRPr="00D04F5E" w:rsidRDefault="005F13FC" w:rsidP="00860B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596E15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Pondělí 4. 11. 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Po příjezdu do Záhřebu a ubytování jsem zašel také do národní knihovny - (Nacionalna i sveučilišna knjižnica u Zagrebu - </w:t>
            </w:r>
            <w:hyperlink r:id="rId7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http://www.nsk.hr/</w:t>
              </w:r>
            </w:hyperlink>
            <w:r w:rsidRPr="00D04F5E">
              <w:rPr>
                <w:rFonts w:ascii="Calibri" w:hAnsi="Calibri" w:cs="Calibri"/>
                <w:sz w:val="22"/>
                <w:szCs w:val="22"/>
              </w:rPr>
              <w:t>). Zmínkyhodná je trpělivost a disciplinovanost uživatelů, kteří přes poněkud komplikovanou a zdlouhavou proceduru registrace návštěvy nejevili známky problémů, zejména také neměli problém odložit si v (malých!) šatních skříňkách a vstupovat do vyhrazeného prostoru bez svrchního oděvu jen s literaturou a pracovními potřebami. Knihovna jako celek je otevřena jen do 22 hodin, do 24 hodin pak jen jeden vyhrazený menší prostor.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Úterý 5. 11.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Další den jsem navštívil dvě provozní jednotky Knihoven města Záhřebu (Knjižnice grada Zagreba - </w:t>
            </w:r>
            <w:hyperlink r:id="rId8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http://www.kgz.hr/default.aspx?id=61</w:t>
              </w:r>
            </w:hyperlink>
            <w:r w:rsidRPr="00D04F5E">
              <w:rPr>
                <w:rFonts w:ascii="Calibri" w:hAnsi="Calibri" w:cs="Calibri"/>
                <w:sz w:val="22"/>
                <w:szCs w:val="22"/>
              </w:rPr>
              <w:t>) – Městskou knihovnu (Gradska knjižnica – hlavní budovu a sousední oddělení pro děti a mládež). KGZ usilují o novou budovu (stávající řešení optimální není).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Odpoledne se uskutečnila domluvená prohlídka Národní a univerzitní knihovny v Záhřebu. Ta je sice umístěna mimo vlastní centrum města, ale na významné komunikační ose, výstavba kolem níž se bude ještě rozvíjet. Projekčně pochází z přelomu 80. a 90. let – a její provoz musí být energeticky značně náročný. Rozsáhlou budovu NSK sdílí s katastrálním (?) úřadem a s kongresovým centrem; na první z nich si NSK – dle sdělení provázející pracovnice referenčního (informačního) oddělení – dělá naději. V jednotlivých podlažích jsou umístěny značně rozsáhlé volné výběry pro jednotlivé skupiny oborů, stavěné systematicky. Svazky se sekundární signaturou v základním tvaru jsou prezenční, doplňkové svazky (označené než údajem nad hřbetní etiketou – volně přeloženo – "Ex. 1" [a další]) jsou absenční.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Následně jsem navštívil (bez doprovodu) novou budovu knihovny Filosofické fakulty Univerzity v Záhřebu (Knjižnica Filozofskog fakulteta Sveučilišta u Zagrebu - </w:t>
            </w:r>
            <w:hyperlink r:id="rId9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http://koha.ffzg.unizg.hr/</w:t>
              </w:r>
            </w:hyperlink>
            <w:r w:rsidRPr="00D04F5E">
              <w:rPr>
                <w:rFonts w:ascii="Calibri" w:hAnsi="Calibri" w:cs="Calibri"/>
                <w:sz w:val="22"/>
                <w:szCs w:val="22"/>
              </w:rPr>
              <w:t>). Vnější vzhled budovy je pozoruhodný výrazným náklonem, vnitřní řešení je vcelku jednoduché, ovšem funkční (podél tří, prosklených stěn pracovní místa, na ploše podlaží volný výběr - snad jen s výhradou vysoké hustoty regálů, podstatná část jejichž kapacity bude ještě nějakou dobu nevyužita).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Společenská večeře pro přicestovavší účastníky jednání EBLIDA byla příležitostí k diskusím nejen o otázkách působení EBLIDA, ale s přítomnými kolegyněmi z Chorvatského knihovnického spolku (Hrvatsko knjižničarsko društvo - </w:t>
            </w:r>
            <w:hyperlink r:id="rId10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http://www.hkdrustvo.hr/</w:t>
              </w:r>
            </w:hyperlink>
            <w:r w:rsidRPr="00D04F5E">
              <w:rPr>
                <w:rFonts w:ascii="Calibri" w:hAnsi="Calibri" w:cs="Calibri"/>
                <w:sz w:val="22"/>
                <w:szCs w:val="22"/>
              </w:rPr>
              <w:t>, mj. s předsedkyní Marijanou Mišetić) o knihovnictví v Chorvatsku.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Středa 6. 11.</w:t>
            </w:r>
          </w:p>
          <w:p w:rsidR="005F13FC" w:rsidRPr="00D04F5E" w:rsidRDefault="005F13FC" w:rsidP="00C75C1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Celý den byl věnován jednání EBLIDA/EGIL (viz výše). Bezprostředně po jeho skončení jsem nastoupil zpáteční cestu.</w:t>
            </w:r>
          </w:p>
          <w:p w:rsidR="005F13FC" w:rsidRPr="00D04F5E" w:rsidRDefault="005F13FC" w:rsidP="00596E15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Získány odkazy na publikace na webu:</w:t>
            </w:r>
          </w:p>
          <w:p w:rsidR="005F13FC" w:rsidRPr="00D04F5E" w:rsidRDefault="005F13FC" w:rsidP="00AE1BD4">
            <w:pPr>
              <w:pStyle w:val="PlainText"/>
              <w:rPr>
                <w:color w:val="auto"/>
                <w:sz w:val="22"/>
                <w:szCs w:val="22"/>
                <w:lang w:eastAsia="cs-CZ"/>
              </w:rPr>
            </w:pPr>
            <w:r w:rsidRPr="00D04F5E">
              <w:rPr>
                <w:color w:val="auto"/>
                <w:sz w:val="22"/>
                <w:szCs w:val="22"/>
                <w:lang w:eastAsia="cs-CZ"/>
              </w:rPr>
              <w:t>Cross-border extended collective licensing: a solution to online dissemination of Europe’s cultural heritage?</w:t>
            </w:r>
          </w:p>
          <w:p w:rsidR="005F13FC" w:rsidRPr="00D04F5E" w:rsidRDefault="005F13FC" w:rsidP="00AE1BD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 xml:space="preserve">Final report prepared for EuropeanaConnect Johan Axhamn Lucie Guibault UNIVERSITEIT VAN AMSTERDAM Amsterdam, The Netherlands </w:t>
            </w:r>
          </w:p>
          <w:p w:rsidR="005F13FC" w:rsidRPr="00D04F5E" w:rsidRDefault="005F13FC" w:rsidP="00AE1BD4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http://www.ivir.nl/publicaties/guibault/ECL_Europeana_final_report092011.pdf</w:t>
              </w:r>
            </w:hyperlink>
          </w:p>
          <w:p w:rsidR="005F13FC" w:rsidRPr="00D04F5E" w:rsidRDefault="005F13FC" w:rsidP="00AE1BD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Title: The European "Extended Collective Licensing" Model Author(s): Strowel, Alain Date: 2011 Type: Articles Department: Law Volume: 34 Permanent URL:</w:t>
            </w:r>
            <w:r>
              <w:t xml:space="preserve"> </w:t>
            </w:r>
            <w:hyperlink r:id="rId12" w:history="1">
              <w:r w:rsidRPr="00D04F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http://hdl.handle.net/10022/AC:P:13819</w:t>
              </w:r>
            </w:hyperlink>
            <w:r w:rsidRPr="00D04F5E">
              <w:rPr>
                <w:rFonts w:ascii="Calibri" w:hAnsi="Calibri" w:cs="Calibri"/>
              </w:rPr>
              <w:t xml:space="preserve"> </w:t>
            </w:r>
            <w:r w:rsidRPr="00D04F5E">
              <w:rPr>
                <w:rFonts w:ascii="Calibri" w:hAnsi="Calibri" w:cs="Calibri"/>
                <w:sz w:val="22"/>
                <w:szCs w:val="22"/>
              </w:rPr>
              <w:t>Journal Title: Columbia Journal of Law &amp; the Arts Abstract:</w:t>
            </w:r>
          </w:p>
          <w:p w:rsidR="005F13FC" w:rsidRPr="00D04F5E" w:rsidRDefault="005F13FC" w:rsidP="00D64D0C">
            <w:pPr>
              <w:pStyle w:val="PlainText"/>
            </w:pPr>
            <w:hyperlink r:id="rId13" w:history="1">
              <w:r w:rsidRPr="00D04F5E">
                <w:rPr>
                  <w:rStyle w:val="Hyperlink"/>
                </w:rPr>
                <w:t>http://academiccommons.columbia.edu/catalog/ac:149103</w:t>
              </w:r>
            </w:hyperlink>
            <w:r w:rsidRPr="00D04F5E">
              <w:t xml:space="preserve"> </w:t>
            </w:r>
          </w:p>
          <w:p w:rsidR="005F13FC" w:rsidRPr="00D04F5E" w:rsidRDefault="005F13FC" w:rsidP="00AE1B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16. 1. 2014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5F13FC" w:rsidRPr="004A0D9A">
        <w:tc>
          <w:tcPr>
            <w:tcW w:w="3614" w:type="dxa"/>
          </w:tcPr>
          <w:p w:rsidR="005F13FC" w:rsidRPr="00D04F5E" w:rsidRDefault="005F13FC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Přijato v </w:t>
            </w:r>
            <w:r w:rsidRPr="00B75492">
              <w:rPr>
                <w:rFonts w:ascii="Calibri" w:hAnsi="Calibri" w:cs="Calibri"/>
                <w:sz w:val="22"/>
                <w:szCs w:val="22"/>
              </w:rPr>
              <w:t>mezinárodním</w:t>
            </w:r>
            <w:r w:rsidRPr="00D04F5E"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5F13FC" w:rsidRPr="00D04F5E" w:rsidRDefault="005F13FC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04F5E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5F13FC" w:rsidRPr="00D04F5E" w:rsidRDefault="005F13F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5F13FC" w:rsidRPr="00D04F5E" w:rsidRDefault="005F13F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5F13FC" w:rsidRPr="00D04F5E" w:rsidRDefault="005F13F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5F13FC" w:rsidRPr="00D04F5E" w:rsidRDefault="005F13F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5F13FC" w:rsidRPr="00D04F5E" w:rsidRDefault="005F13FC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5F13FC" w:rsidRDefault="005F13FC" w:rsidP="005F6084"/>
    <w:p w:rsidR="005F13FC" w:rsidRPr="00131B88" w:rsidRDefault="005F13FC">
      <w:pPr>
        <w:rPr>
          <w:lang w:val="en-GB"/>
        </w:rPr>
      </w:pPr>
    </w:p>
    <w:sectPr w:rsidR="005F13FC" w:rsidRPr="00131B88" w:rsidSect="008E309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FC" w:rsidRDefault="005F13FC">
      <w:r>
        <w:separator/>
      </w:r>
    </w:p>
  </w:endnote>
  <w:endnote w:type="continuationSeparator" w:id="0">
    <w:p w:rsidR="005F13FC" w:rsidRDefault="005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C" w:rsidRDefault="005F13FC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FC" w:rsidRDefault="005F13FC">
      <w:r>
        <w:separator/>
      </w:r>
    </w:p>
  </w:footnote>
  <w:footnote w:type="continuationSeparator" w:id="0">
    <w:p w:rsidR="005F13FC" w:rsidRDefault="005F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C" w:rsidRDefault="005F13F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5F13FC" w:rsidRDefault="005F13FC">
    <w:pPr>
      <w:pStyle w:val="Header"/>
    </w:pPr>
    <w:r>
      <w:rPr>
        <w:noProof/>
      </w:rPr>
      <w:pict>
        <v:line id="Line 6" o:spid="_x0000_s2049" style="position:absolute;z-index:251659264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7D2C89"/>
    <w:multiLevelType w:val="hybridMultilevel"/>
    <w:tmpl w:val="0522546C"/>
    <w:lvl w:ilvl="0" w:tplc="3E4449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D9A"/>
    <w:rsid w:val="000242DC"/>
    <w:rsid w:val="00031E53"/>
    <w:rsid w:val="0006007D"/>
    <w:rsid w:val="00070D07"/>
    <w:rsid w:val="00081212"/>
    <w:rsid w:val="00095A71"/>
    <w:rsid w:val="000A078D"/>
    <w:rsid w:val="000A3DF5"/>
    <w:rsid w:val="000B36A5"/>
    <w:rsid w:val="000F0561"/>
    <w:rsid w:val="00111CA2"/>
    <w:rsid w:val="00131B88"/>
    <w:rsid w:val="00131DBA"/>
    <w:rsid w:val="001432AD"/>
    <w:rsid w:val="00150E1D"/>
    <w:rsid w:val="00153BB3"/>
    <w:rsid w:val="00165F90"/>
    <w:rsid w:val="00167FCD"/>
    <w:rsid w:val="00171E27"/>
    <w:rsid w:val="00197B70"/>
    <w:rsid w:val="001B1E3A"/>
    <w:rsid w:val="001C4128"/>
    <w:rsid w:val="001C6564"/>
    <w:rsid w:val="001D31AD"/>
    <w:rsid w:val="001F6786"/>
    <w:rsid w:val="00246873"/>
    <w:rsid w:val="00281DF0"/>
    <w:rsid w:val="00296759"/>
    <w:rsid w:val="002E0E43"/>
    <w:rsid w:val="002E5D4D"/>
    <w:rsid w:val="00311872"/>
    <w:rsid w:val="00362742"/>
    <w:rsid w:val="003735B4"/>
    <w:rsid w:val="00377A48"/>
    <w:rsid w:val="003A11DA"/>
    <w:rsid w:val="003A30D5"/>
    <w:rsid w:val="003A6044"/>
    <w:rsid w:val="003B0CED"/>
    <w:rsid w:val="00424FE9"/>
    <w:rsid w:val="004354A3"/>
    <w:rsid w:val="00465BAA"/>
    <w:rsid w:val="00466446"/>
    <w:rsid w:val="00470473"/>
    <w:rsid w:val="00492DC6"/>
    <w:rsid w:val="004A0D9A"/>
    <w:rsid w:val="004D7654"/>
    <w:rsid w:val="00512382"/>
    <w:rsid w:val="0054197E"/>
    <w:rsid w:val="00570934"/>
    <w:rsid w:val="00577B21"/>
    <w:rsid w:val="00595F10"/>
    <w:rsid w:val="00596E15"/>
    <w:rsid w:val="005A0AC3"/>
    <w:rsid w:val="005A21CE"/>
    <w:rsid w:val="005C4813"/>
    <w:rsid w:val="005D142F"/>
    <w:rsid w:val="005D2073"/>
    <w:rsid w:val="005D3228"/>
    <w:rsid w:val="005E1E28"/>
    <w:rsid w:val="005F13FC"/>
    <w:rsid w:val="005F6084"/>
    <w:rsid w:val="006019DC"/>
    <w:rsid w:val="00610869"/>
    <w:rsid w:val="0063054A"/>
    <w:rsid w:val="006319B3"/>
    <w:rsid w:val="006417BE"/>
    <w:rsid w:val="006469DD"/>
    <w:rsid w:val="00656BAF"/>
    <w:rsid w:val="006756DC"/>
    <w:rsid w:val="00694270"/>
    <w:rsid w:val="00696410"/>
    <w:rsid w:val="006A190D"/>
    <w:rsid w:val="006F0221"/>
    <w:rsid w:val="00731670"/>
    <w:rsid w:val="00745735"/>
    <w:rsid w:val="007522E4"/>
    <w:rsid w:val="00761272"/>
    <w:rsid w:val="007676D8"/>
    <w:rsid w:val="00774196"/>
    <w:rsid w:val="00784A63"/>
    <w:rsid w:val="00790620"/>
    <w:rsid w:val="00795BD8"/>
    <w:rsid w:val="007B42B8"/>
    <w:rsid w:val="007F6AAF"/>
    <w:rsid w:val="00802F09"/>
    <w:rsid w:val="00804667"/>
    <w:rsid w:val="00850342"/>
    <w:rsid w:val="00860B33"/>
    <w:rsid w:val="00882BFC"/>
    <w:rsid w:val="008851CA"/>
    <w:rsid w:val="008A01B1"/>
    <w:rsid w:val="008A5B5C"/>
    <w:rsid w:val="008C0B88"/>
    <w:rsid w:val="008C68D8"/>
    <w:rsid w:val="008E3097"/>
    <w:rsid w:val="008E6BF7"/>
    <w:rsid w:val="008F1656"/>
    <w:rsid w:val="009141A1"/>
    <w:rsid w:val="009161BC"/>
    <w:rsid w:val="00942BF0"/>
    <w:rsid w:val="009536C6"/>
    <w:rsid w:val="00967314"/>
    <w:rsid w:val="009A2DF3"/>
    <w:rsid w:val="009B3CF4"/>
    <w:rsid w:val="009D0042"/>
    <w:rsid w:val="009D2EA7"/>
    <w:rsid w:val="009D36EA"/>
    <w:rsid w:val="009F7098"/>
    <w:rsid w:val="00A04EAD"/>
    <w:rsid w:val="00A41733"/>
    <w:rsid w:val="00A51EF0"/>
    <w:rsid w:val="00A53AD9"/>
    <w:rsid w:val="00A53C3A"/>
    <w:rsid w:val="00A71273"/>
    <w:rsid w:val="00A822C4"/>
    <w:rsid w:val="00A8485D"/>
    <w:rsid w:val="00A9041D"/>
    <w:rsid w:val="00AA3C65"/>
    <w:rsid w:val="00AB4769"/>
    <w:rsid w:val="00AC3975"/>
    <w:rsid w:val="00AD1DCD"/>
    <w:rsid w:val="00AD7E35"/>
    <w:rsid w:val="00AE1BD4"/>
    <w:rsid w:val="00AF2098"/>
    <w:rsid w:val="00AF5243"/>
    <w:rsid w:val="00B27947"/>
    <w:rsid w:val="00B331D6"/>
    <w:rsid w:val="00B46717"/>
    <w:rsid w:val="00B75492"/>
    <w:rsid w:val="00B763D4"/>
    <w:rsid w:val="00B8010C"/>
    <w:rsid w:val="00B81E7A"/>
    <w:rsid w:val="00BC7CE8"/>
    <w:rsid w:val="00BD5A9A"/>
    <w:rsid w:val="00BE0831"/>
    <w:rsid w:val="00BE7A33"/>
    <w:rsid w:val="00BF192A"/>
    <w:rsid w:val="00C20231"/>
    <w:rsid w:val="00C25C89"/>
    <w:rsid w:val="00C428A2"/>
    <w:rsid w:val="00C510A7"/>
    <w:rsid w:val="00C531FF"/>
    <w:rsid w:val="00C537E2"/>
    <w:rsid w:val="00C6152E"/>
    <w:rsid w:val="00C621AE"/>
    <w:rsid w:val="00C75C1D"/>
    <w:rsid w:val="00CA5218"/>
    <w:rsid w:val="00CA5FDF"/>
    <w:rsid w:val="00CB016C"/>
    <w:rsid w:val="00CB3ED9"/>
    <w:rsid w:val="00CB6050"/>
    <w:rsid w:val="00CD18DB"/>
    <w:rsid w:val="00CE4367"/>
    <w:rsid w:val="00CE682D"/>
    <w:rsid w:val="00CF769F"/>
    <w:rsid w:val="00D04F5E"/>
    <w:rsid w:val="00D24467"/>
    <w:rsid w:val="00D244E4"/>
    <w:rsid w:val="00D3695F"/>
    <w:rsid w:val="00D37420"/>
    <w:rsid w:val="00D57AAF"/>
    <w:rsid w:val="00D60AB4"/>
    <w:rsid w:val="00D64D0C"/>
    <w:rsid w:val="00D814D7"/>
    <w:rsid w:val="00DC0D14"/>
    <w:rsid w:val="00DC2055"/>
    <w:rsid w:val="00DE1D6F"/>
    <w:rsid w:val="00DE377B"/>
    <w:rsid w:val="00DF228F"/>
    <w:rsid w:val="00DF28E6"/>
    <w:rsid w:val="00E1048D"/>
    <w:rsid w:val="00E12F99"/>
    <w:rsid w:val="00E21964"/>
    <w:rsid w:val="00E2790F"/>
    <w:rsid w:val="00E4485D"/>
    <w:rsid w:val="00E45CED"/>
    <w:rsid w:val="00E51831"/>
    <w:rsid w:val="00E93C72"/>
    <w:rsid w:val="00E93CB4"/>
    <w:rsid w:val="00EC7B97"/>
    <w:rsid w:val="00ED5A79"/>
    <w:rsid w:val="00F2207D"/>
    <w:rsid w:val="00F442D3"/>
    <w:rsid w:val="00F56F8F"/>
    <w:rsid w:val="00F7067A"/>
    <w:rsid w:val="00F950CF"/>
    <w:rsid w:val="00F9702F"/>
    <w:rsid w:val="00FC7C5F"/>
    <w:rsid w:val="00FD3FD6"/>
    <w:rsid w:val="00FF14C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C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CD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9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paragraph" w:styleId="NormalWeb">
    <w:name w:val="Normal (Web)"/>
    <w:basedOn w:val="Normal"/>
    <w:uiPriority w:val="99"/>
    <w:rsid w:val="005F6084"/>
    <w:rPr>
      <w:lang w:val="sv-SE" w:eastAsia="sv-SE"/>
    </w:rPr>
  </w:style>
  <w:style w:type="paragraph" w:styleId="PlainText">
    <w:name w:val="Plain Text"/>
    <w:basedOn w:val="Normal"/>
    <w:link w:val="PlainTextChar"/>
    <w:uiPriority w:val="99"/>
    <w:rsid w:val="00AE1BD4"/>
    <w:rPr>
      <w:rFonts w:ascii="Calibri" w:hAnsi="Calibri" w:cs="Calibri"/>
      <w:color w:val="365F91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1BD4"/>
    <w:rPr>
      <w:rFonts w:ascii="Calibri" w:eastAsia="Times New Roman" w:hAnsi="Calibri" w:cs="Calibri"/>
      <w:color w:val="365F91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.hr/default.aspx?id=61" TargetMode="External"/><Relationship Id="rId13" Type="http://schemas.openxmlformats.org/officeDocument/2006/relationships/hyperlink" Target="http://academiccommons.columbia.edu/catalog/ac:149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k.hr/" TargetMode="External"/><Relationship Id="rId12" Type="http://schemas.openxmlformats.org/officeDocument/2006/relationships/hyperlink" Target="http://hdl.handle.net/10022/AC:P:138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ir.nl/publicaties/guibault/ECL_Europeana_final_report09201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kdrustvo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ha.ffzg.unizg.h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Pages>6</Pages>
  <Words>1518</Words>
  <Characters>8961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Knoll Adolf</dc:creator>
  <cp:keywords/>
  <dc:description/>
  <cp:lastModifiedBy>Eva</cp:lastModifiedBy>
  <cp:revision>8</cp:revision>
  <cp:lastPrinted>2013-10-24T08:13:00Z</cp:lastPrinted>
  <dcterms:created xsi:type="dcterms:W3CDTF">2013-12-23T14:46:00Z</dcterms:created>
  <dcterms:modified xsi:type="dcterms:W3CDTF">2014-01-16T14:18:00Z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